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ascii="仿宋" w:hAnsi="宋体" w:eastAsia="仿宋" w:cs="宋体"/>
          <w:b/>
          <w:kern w:val="0"/>
          <w:sz w:val="40"/>
          <w:szCs w:val="40"/>
        </w:rPr>
      </w:pPr>
      <w:r>
        <w:rPr>
          <w:rFonts w:hint="eastAsia" w:ascii="仿宋" w:hAnsi="宋体" w:eastAsia="仿宋" w:cs="宋体"/>
          <w:b/>
          <w:kern w:val="0"/>
          <w:sz w:val="40"/>
          <w:szCs w:val="40"/>
        </w:rPr>
        <w:t>“领航者”象屿2017届应届生校园招聘</w:t>
      </w:r>
    </w:p>
    <w:p>
      <w:pPr>
        <w:widowControl/>
        <w:snapToGrid w:val="0"/>
        <w:spacing w:line="360" w:lineRule="auto"/>
        <w:jc w:val="center"/>
        <w:rPr>
          <w:rFonts w:ascii="宋体" w:hAnsi="宋体" w:eastAsia="宋体" w:cs="宋体"/>
          <w:kern w:val="0"/>
          <w:sz w:val="24"/>
          <w:szCs w:val="24"/>
        </w:rPr>
      </w:pPr>
    </w:p>
    <w:p>
      <w:pPr>
        <w:widowControl/>
        <w:snapToGrid w:val="0"/>
        <w:spacing w:line="360" w:lineRule="auto"/>
        <w:ind w:firstLine="482" w:firstLineChars="200"/>
        <w:jc w:val="left"/>
        <w:rPr>
          <w:rFonts w:ascii="仿宋" w:hAnsi="宋体" w:eastAsia="仿宋" w:cs="宋体"/>
          <w:b/>
          <w:kern w:val="0"/>
          <w:sz w:val="24"/>
          <w:szCs w:val="24"/>
        </w:rPr>
      </w:pPr>
      <w:r>
        <w:rPr>
          <w:rFonts w:hint="eastAsia" w:ascii="仿宋" w:hAnsi="宋体" w:eastAsia="仿宋" w:cs="宋体"/>
          <w:b/>
          <w:kern w:val="0"/>
          <w:sz w:val="24"/>
          <w:szCs w:val="24"/>
        </w:rPr>
        <w:t>全球化、自贸区、一带一路、供应链金融、跨境电商、互联网+……，</w:t>
      </w:r>
    </w:p>
    <w:p>
      <w:pPr>
        <w:widowControl/>
        <w:snapToGrid w:val="0"/>
        <w:spacing w:line="360" w:lineRule="auto"/>
        <w:ind w:firstLine="482" w:firstLineChars="200"/>
        <w:jc w:val="left"/>
        <w:rPr>
          <w:rFonts w:ascii="仿宋" w:hAnsi="宋体" w:eastAsia="仿宋" w:cs="宋体"/>
          <w:b/>
          <w:kern w:val="0"/>
          <w:sz w:val="24"/>
          <w:szCs w:val="24"/>
        </w:rPr>
      </w:pPr>
      <w:r>
        <w:rPr>
          <w:rFonts w:hint="eastAsia" w:ascii="仿宋" w:hAnsi="宋体" w:eastAsia="仿宋" w:cs="宋体"/>
          <w:b/>
          <w:kern w:val="0"/>
          <w:sz w:val="24"/>
          <w:szCs w:val="24"/>
        </w:rPr>
        <w:t>象屿立足现在、把握先机，开创未来。</w:t>
      </w:r>
    </w:p>
    <w:p>
      <w:pPr>
        <w:widowControl/>
        <w:snapToGrid w:val="0"/>
        <w:spacing w:line="360" w:lineRule="auto"/>
        <w:ind w:firstLine="482" w:firstLineChars="200"/>
        <w:jc w:val="left"/>
        <w:rPr>
          <w:rFonts w:ascii="仿宋" w:hAnsi="宋体" w:eastAsia="仿宋" w:cs="宋体"/>
          <w:b/>
          <w:kern w:val="0"/>
          <w:sz w:val="24"/>
          <w:szCs w:val="24"/>
        </w:rPr>
      </w:pPr>
      <w:r>
        <w:rPr>
          <w:rFonts w:hint="eastAsia" w:ascii="仿宋" w:hAnsi="宋体" w:eastAsia="仿宋" w:cs="宋体"/>
          <w:b/>
          <w:kern w:val="0"/>
          <w:sz w:val="24"/>
          <w:szCs w:val="24"/>
        </w:rPr>
        <w:t>您是否期待能成为未来的弄潮儿、时代的领航者，</w:t>
      </w:r>
    </w:p>
    <w:p>
      <w:pPr>
        <w:widowControl/>
        <w:snapToGrid w:val="0"/>
        <w:spacing w:line="360" w:lineRule="auto"/>
        <w:ind w:firstLine="482" w:firstLineChars="200"/>
        <w:jc w:val="left"/>
        <w:rPr>
          <w:rFonts w:ascii="仿宋" w:hAnsi="宋体" w:eastAsia="仿宋" w:cs="宋体"/>
          <w:b/>
          <w:kern w:val="0"/>
          <w:sz w:val="24"/>
          <w:szCs w:val="24"/>
        </w:rPr>
      </w:pPr>
      <w:r>
        <w:rPr>
          <w:rFonts w:hint="eastAsia" w:ascii="仿宋" w:hAnsi="宋体" w:eastAsia="仿宋" w:cs="宋体"/>
          <w:b/>
          <w:kern w:val="0"/>
          <w:sz w:val="24"/>
          <w:szCs w:val="24"/>
        </w:rPr>
        <w:t>在未来的商海劈波斩浪、扬帆起航？</w:t>
      </w:r>
    </w:p>
    <w:p>
      <w:pPr>
        <w:widowControl/>
        <w:snapToGrid w:val="0"/>
        <w:spacing w:line="360" w:lineRule="auto"/>
        <w:ind w:firstLine="482" w:firstLineChars="200"/>
        <w:jc w:val="left"/>
        <w:rPr>
          <w:rFonts w:ascii="宋体" w:hAnsi="宋体" w:eastAsia="宋体" w:cs="宋体"/>
          <w:kern w:val="0"/>
          <w:sz w:val="24"/>
          <w:szCs w:val="24"/>
        </w:rPr>
      </w:pPr>
      <w:r>
        <w:rPr>
          <w:rFonts w:hint="eastAsia" w:ascii="仿宋" w:hAnsi="宋体" w:eastAsia="仿宋" w:cs="宋体"/>
          <w:b/>
          <w:kern w:val="0"/>
          <w:sz w:val="24"/>
          <w:szCs w:val="24"/>
        </w:rPr>
        <w:t>加入象屿吧，青春象屿·大有可为！</w:t>
      </w:r>
    </w:p>
    <w:p>
      <w:pPr>
        <w:widowControl/>
        <w:adjustRightInd w:val="0"/>
        <w:snapToGrid w:val="0"/>
        <w:spacing w:line="360" w:lineRule="auto"/>
        <w:jc w:val="left"/>
        <w:rPr>
          <w:rFonts w:ascii="宋体" w:hAnsi="宋体" w:eastAsia="宋体" w:cs="宋体"/>
          <w:kern w:val="0"/>
          <w:sz w:val="24"/>
          <w:szCs w:val="24"/>
        </w:rPr>
      </w:pPr>
      <w:r>
        <w:rPr>
          <w:rFonts w:hint="eastAsia" w:ascii="仿宋" w:hAnsi="宋体" w:eastAsia="仿宋" w:cs="宋体"/>
          <w:b/>
          <w:kern w:val="0"/>
          <w:sz w:val="24"/>
          <w:szCs w:val="24"/>
        </w:rPr>
        <w:t>一、公司简介</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中国</w:t>
      </w:r>
      <w:r>
        <w:rPr>
          <w:rFonts w:ascii="仿宋" w:hAnsi="宋体" w:eastAsia="仿宋" w:cs="宋体"/>
          <w:kern w:val="0"/>
          <w:sz w:val="24"/>
          <w:szCs w:val="24"/>
        </w:rPr>
        <w:t>500</w:t>
      </w:r>
      <w:r>
        <w:rPr>
          <w:rFonts w:hint="eastAsia" w:ascii="仿宋" w:hAnsi="宋体" w:eastAsia="仿宋" w:cs="宋体"/>
          <w:kern w:val="0"/>
          <w:sz w:val="24"/>
          <w:szCs w:val="24"/>
        </w:rPr>
        <w:t>强企业</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中国服务业</w:t>
      </w:r>
      <w:r>
        <w:rPr>
          <w:rFonts w:ascii="仿宋" w:hAnsi="宋体" w:eastAsia="仿宋" w:cs="宋体"/>
          <w:kern w:val="0"/>
          <w:sz w:val="24"/>
          <w:szCs w:val="24"/>
        </w:rPr>
        <w:t>500</w:t>
      </w:r>
      <w:r>
        <w:rPr>
          <w:rFonts w:hint="eastAsia" w:ascii="仿宋" w:hAnsi="宋体" w:eastAsia="仿宋" w:cs="宋体"/>
          <w:kern w:val="0"/>
          <w:sz w:val="24"/>
          <w:szCs w:val="24"/>
        </w:rPr>
        <w:t>强企业</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厦门百强排名第三</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中国物流杰出企业</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中国房地产百强企业</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全国守合同重信用单位</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全国内部审计先进单位</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金融评信AAA级企业</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全国五一劳动奖状</w:t>
      </w:r>
    </w:p>
    <w:p>
      <w:pPr>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中国驰名商标</w:t>
      </w:r>
    </w:p>
    <w:p>
      <w:pPr>
        <w:widowControl/>
        <w:adjustRightInd w:val="0"/>
        <w:snapToGrid w:val="0"/>
        <w:spacing w:line="360" w:lineRule="auto"/>
        <w:ind w:firstLine="482" w:firstLineChars="200"/>
        <w:jc w:val="left"/>
        <w:rPr>
          <w:rFonts w:ascii="宋体" w:hAnsi="宋体" w:eastAsia="宋体" w:cs="宋体"/>
          <w:kern w:val="0"/>
          <w:sz w:val="24"/>
          <w:szCs w:val="24"/>
        </w:rPr>
      </w:pPr>
      <w:r>
        <w:rPr>
          <w:rFonts w:hint="eastAsia" w:ascii="仿宋" w:hAnsi="宋体" w:eastAsia="仿宋" w:cs="宋体"/>
          <w:b/>
          <w:kern w:val="0"/>
          <w:sz w:val="24"/>
          <w:szCs w:val="24"/>
        </w:rPr>
        <w:t>象屿集团</w:t>
      </w:r>
    </w:p>
    <w:p>
      <w:pPr>
        <w:autoSpaceDE w:val="0"/>
        <w:autoSpaceDN w:val="0"/>
        <w:adjustRightIn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象屿集团，1995年11月28日成立，国有独资企业，总部设于厦门。旗下拥有投资企业170余家，员工7000余人。</w:t>
      </w:r>
    </w:p>
    <w:p>
      <w:pPr>
        <w:autoSpaceDE w:val="0"/>
        <w:autoSpaceDN w:val="0"/>
        <w:adjustRightIn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公司秉持“服务社会发展，服务企业成长”的理念，聚焦现代服务业，践行产业化投资与专业化经营。</w:t>
      </w:r>
    </w:p>
    <w:p>
      <w:pPr>
        <w:autoSpaceDE w:val="0"/>
        <w:autoSpaceDN w:val="0"/>
        <w:adjustRightIn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投资领域涉及供应链管理及流通服务、公共服务平台及产业地产开发、房地产、类金融服务及股权投资等现代服务业领域。近年公司还积极布局新兴产业投资、产业+互联网等。</w:t>
      </w:r>
    </w:p>
    <w:p>
      <w:pPr>
        <w:autoSpaceDE w:val="0"/>
        <w:autoSpaceDN w:val="0"/>
        <w:adjustRightIn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公司致力于为股东、客户、合作伙伴、员工构建共生共赢的价值生态圈，正向着中国一流的现代服务业投资控股集团目标不断迈进。</w:t>
      </w:r>
    </w:p>
    <w:p>
      <w:pPr>
        <w:autoSpaceDE w:val="0"/>
        <w:autoSpaceDN w:val="0"/>
        <w:adjustRightIn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象屿集团多年位居中国500强，并荣获全国五一劳动奖状，是全国守合同重信用单位，全国内部审计先进单位，金融评信AAA级企业。预计到2020年，象屿集团营业收入将突破1250亿元，进入中国500强企业前200名。</w:t>
      </w:r>
    </w:p>
    <w:p>
      <w:pPr>
        <w:widowControl/>
        <w:adjustRightInd w:val="0"/>
        <w:snapToGrid w:val="0"/>
        <w:spacing w:line="360" w:lineRule="auto"/>
        <w:ind w:firstLine="482" w:firstLineChars="200"/>
        <w:jc w:val="left"/>
        <w:rPr>
          <w:rFonts w:ascii="宋体" w:hAnsi="宋体" w:eastAsia="宋体" w:cs="宋体"/>
          <w:kern w:val="0"/>
          <w:sz w:val="24"/>
          <w:szCs w:val="24"/>
        </w:rPr>
      </w:pPr>
      <w:r>
        <w:rPr>
          <w:rFonts w:hint="eastAsia" w:ascii="仿宋" w:hAnsi="宋体" w:eastAsia="仿宋" w:cs="宋体"/>
          <w:b/>
          <w:kern w:val="0"/>
          <w:sz w:val="24"/>
          <w:szCs w:val="24"/>
        </w:rPr>
        <w:t>象屿股份</w:t>
      </w:r>
    </w:p>
    <w:p>
      <w:pPr>
        <w:widowControl/>
        <w:spacing w:line="360" w:lineRule="auto"/>
        <w:ind w:firstLine="420"/>
        <w:jc w:val="left"/>
        <w:rPr>
          <w:rFonts w:ascii="仿宋" w:hAnsi="宋体" w:eastAsia="仿宋" w:cs="宋体"/>
          <w:kern w:val="0"/>
          <w:sz w:val="24"/>
          <w:szCs w:val="24"/>
        </w:rPr>
      </w:pPr>
      <w:r>
        <w:rPr>
          <w:rFonts w:hint="eastAsia" w:ascii="仿宋" w:hAnsi="宋体" w:eastAsia="仿宋" w:cs="宋体"/>
          <w:kern w:val="0"/>
          <w:sz w:val="24"/>
          <w:szCs w:val="24"/>
        </w:rPr>
        <w:t>厦门象屿股份有限公司由象屿集团旗下所有供应链服务相关子公司重组而成。2011 年8 月29 日在上海证券交易所重组上市（股票代码：600057）。公司基于“立足供应链，服务产业链”的经营理念，通过物流、商流、资金流、信息流四流合一的一体化流通服务平台，从资源、服务、平台三个层级为客户提供创新、高效、阳光、低碳的供应链服务，目前已在塑化产品、金属材料、林产品、进口汽车和农产品等五大类产品上形成了较强的供应链服务能力，服务网络遍布海内外。旗下控股企业拥有集装箱堆场逾31 万平方米，在厦门、福州、上海、天津、广州、深圳自营及包租仓库面积逾112万平方米，配备专业的拖车车队及散装船，自营专业报关行，为客户提供先进的综合物流服务。</w:t>
      </w:r>
    </w:p>
    <w:p>
      <w:pPr>
        <w:widowControl/>
        <w:snapToGrid w:val="0"/>
        <w:spacing w:line="360" w:lineRule="auto"/>
        <w:ind w:firstLine="480" w:firstLineChars="200"/>
        <w:jc w:val="left"/>
        <w:rPr>
          <w:rFonts w:ascii="仿宋" w:hAnsi="宋体" w:eastAsia="仿宋" w:cs="宋体"/>
          <w:kern w:val="0"/>
          <w:sz w:val="24"/>
          <w:szCs w:val="24"/>
        </w:rPr>
      </w:pPr>
      <w:r>
        <w:rPr>
          <w:rFonts w:hint="eastAsia" w:ascii="仿宋" w:hAnsi="宋体" w:eastAsia="仿宋" w:cs="宋体"/>
          <w:kern w:val="0"/>
          <w:sz w:val="24"/>
          <w:szCs w:val="24"/>
        </w:rPr>
        <w:t>象屿股份旗下拥有90余家投资企业，服务网络遍布中国主要城市、香港、台湾及东南亚，并在澳大利亚、新西兰、欧美等国家设立了境外公司。公司位列2016年财富中国500强（上市公司）榜单第98位，2016年中国物流50强第4位，是全国物流行业先进集体、中国物流杰出企业，中国仓储示范企业，以及中国物流与采购联合会认定的中国5A级物流企业。2015年，公司实现营收599.23亿元，同比增长23.85%。2016年上半年公司营收大幅增长，接近500亿元；实现归属于母公司所有者的净利1.53亿元。</w:t>
      </w:r>
    </w:p>
    <w:p>
      <w:pPr>
        <w:widowControl/>
        <w:snapToGrid w:val="0"/>
        <w:spacing w:line="360" w:lineRule="auto"/>
        <w:jc w:val="left"/>
        <w:rPr>
          <w:rFonts w:ascii="宋体" w:hAnsi="宋体" w:eastAsia="宋体" w:cs="宋体"/>
          <w:kern w:val="0"/>
          <w:sz w:val="24"/>
          <w:szCs w:val="24"/>
        </w:rPr>
      </w:pPr>
      <w:r>
        <w:rPr>
          <w:rFonts w:hint="eastAsia" w:ascii="仿宋" w:hAnsi="宋体" w:eastAsia="仿宋" w:cs="宋体"/>
          <w:b/>
          <w:kern w:val="0"/>
          <w:sz w:val="24"/>
          <w:szCs w:val="24"/>
        </w:rPr>
        <w:t>二、招聘需求</w:t>
      </w:r>
    </w:p>
    <w:tbl>
      <w:tblPr>
        <w:tblStyle w:val="7"/>
        <w:tblW w:w="10083" w:type="dxa"/>
        <w:jc w:val="center"/>
        <w:tblInd w:w="93" w:type="dxa"/>
        <w:tblLayout w:type="fixed"/>
        <w:tblCellMar>
          <w:top w:w="0" w:type="dxa"/>
          <w:left w:w="108" w:type="dxa"/>
          <w:bottom w:w="0" w:type="dxa"/>
          <w:right w:w="108" w:type="dxa"/>
        </w:tblCellMar>
      </w:tblPr>
      <w:tblGrid>
        <w:gridCol w:w="1658"/>
        <w:gridCol w:w="1914"/>
        <w:gridCol w:w="2821"/>
        <w:gridCol w:w="3690"/>
      </w:tblGrid>
      <w:tr>
        <w:tblPrEx>
          <w:tblLayout w:type="fixed"/>
          <w:tblCellMar>
            <w:top w:w="0" w:type="dxa"/>
            <w:left w:w="108" w:type="dxa"/>
            <w:bottom w:w="0" w:type="dxa"/>
            <w:right w:w="108" w:type="dxa"/>
          </w:tblCellMar>
        </w:tblPrEx>
        <w:trPr>
          <w:trHeight w:val="270"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
                <w:bCs/>
                <w:szCs w:val="21"/>
              </w:rPr>
            </w:pPr>
            <w:r>
              <w:rPr>
                <w:rFonts w:hint="eastAsia" w:ascii="华文仿宋" w:hAnsi="华文仿宋" w:eastAsia="华文仿宋"/>
                <w:b/>
                <w:bCs/>
                <w:szCs w:val="21"/>
              </w:rPr>
              <w:t>需求类别</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
                <w:bCs/>
                <w:szCs w:val="21"/>
              </w:rPr>
            </w:pPr>
            <w:r>
              <w:rPr>
                <w:rFonts w:hint="eastAsia" w:ascii="华文仿宋" w:hAnsi="华文仿宋" w:eastAsia="华文仿宋"/>
                <w:b/>
                <w:bCs/>
                <w:szCs w:val="21"/>
              </w:rPr>
              <w:t>岗位名称</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
                <w:bCs/>
                <w:szCs w:val="21"/>
              </w:rPr>
            </w:pPr>
            <w:r>
              <w:rPr>
                <w:rFonts w:hint="eastAsia" w:ascii="华文仿宋" w:hAnsi="华文仿宋" w:eastAsia="华文仿宋"/>
                <w:b/>
                <w:bCs/>
                <w:szCs w:val="21"/>
              </w:rPr>
              <w:t>工作地点</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
                <w:bCs/>
                <w:szCs w:val="21"/>
              </w:rPr>
            </w:pPr>
            <w:r>
              <w:rPr>
                <w:rFonts w:hint="eastAsia" w:ascii="华文仿宋" w:hAnsi="华文仿宋" w:eastAsia="华文仿宋"/>
                <w:b/>
                <w:bCs/>
                <w:szCs w:val="21"/>
              </w:rPr>
              <w:t>专业要求</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right w:val="single" w:color="auto" w:sz="4" w:space="0"/>
            </w:tcBorders>
            <w:vAlign w:val="center"/>
          </w:tcPr>
          <w:p>
            <w:pPr>
              <w:snapToGrid w:val="0"/>
              <w:jc w:val="center"/>
              <w:rPr>
                <w:rFonts w:ascii="华文仿宋" w:hAnsi="华文仿宋" w:eastAsia="华文仿宋"/>
                <w:b/>
                <w:bCs/>
                <w:szCs w:val="21"/>
              </w:rPr>
            </w:pPr>
            <w:r>
              <w:rPr>
                <w:rFonts w:hint="eastAsia" w:ascii="华文仿宋" w:hAnsi="华文仿宋" w:eastAsia="华文仿宋"/>
                <w:bCs/>
                <w:szCs w:val="21"/>
              </w:rPr>
              <w:t>业务方向</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海外市场</w:t>
            </w:r>
          </w:p>
          <w:p>
            <w:pPr>
              <w:widowControl/>
              <w:snapToGrid w:val="0"/>
              <w:jc w:val="center"/>
              <w:rPr>
                <w:rFonts w:ascii="华文仿宋" w:hAnsi="华文仿宋" w:eastAsia="华文仿宋"/>
                <w:bCs/>
                <w:szCs w:val="21"/>
              </w:rPr>
            </w:pPr>
            <w:r>
              <w:rPr>
                <w:rFonts w:hint="eastAsia" w:ascii="华文仿宋" w:hAnsi="华文仿宋" w:eastAsia="华文仿宋"/>
                <w:bCs/>
                <w:szCs w:val="21"/>
              </w:rPr>
              <w:t>采购、营销人员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国外</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语言类、国际贸易类</w:t>
            </w:r>
            <w:r>
              <w:rPr>
                <w:rFonts w:hint="eastAsia" w:ascii="华文仿宋" w:hAnsi="华文仿宋" w:eastAsia="华文仿宋"/>
                <w:bCs/>
                <w:szCs w:val="21"/>
                <w:lang w:eastAsia="zh-CN"/>
              </w:rPr>
              <w:t>、</w:t>
            </w:r>
            <w:r>
              <w:rPr>
                <w:rFonts w:hint="eastAsia" w:ascii="华文仿宋" w:hAnsi="华文仿宋" w:eastAsia="华文仿宋"/>
                <w:bCs/>
                <w:szCs w:val="21"/>
                <w:lang w:val="en-US" w:eastAsia="zh-CN"/>
              </w:rPr>
              <w:t>木材类、冶金类</w:t>
            </w:r>
            <w:r>
              <w:rPr>
                <w:rFonts w:hint="eastAsia" w:ascii="华文仿宋" w:hAnsi="华文仿宋" w:eastAsia="华文仿宋"/>
                <w:bCs/>
                <w:szCs w:val="21"/>
              </w:rPr>
              <w:t>相关专业或留学经历</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供应链（金融）</w:t>
            </w:r>
          </w:p>
          <w:p>
            <w:pPr>
              <w:widowControl/>
              <w:snapToGrid w:val="0"/>
              <w:jc w:val="center"/>
              <w:rPr>
                <w:rFonts w:ascii="华文仿宋" w:hAnsi="华文仿宋" w:eastAsia="华文仿宋"/>
                <w:bCs/>
                <w:szCs w:val="21"/>
              </w:rPr>
            </w:pPr>
            <w:r>
              <w:rPr>
                <w:rFonts w:hint="eastAsia" w:ascii="华文仿宋" w:hAnsi="华文仿宋" w:eastAsia="华文仿宋"/>
                <w:bCs/>
                <w:szCs w:val="21"/>
              </w:rPr>
              <w:t>营销人员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厦门、福州、上海、天津、广州、深圳、中西部地区</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国际贸易、经济类、物流类</w:t>
            </w:r>
            <w:r>
              <w:rPr>
                <w:rFonts w:hint="eastAsia" w:ascii="华文仿宋" w:hAnsi="华文仿宋" w:eastAsia="华文仿宋"/>
                <w:bCs/>
                <w:szCs w:val="21"/>
                <w:lang w:eastAsia="zh-CN"/>
              </w:rPr>
              <w:t>、</w:t>
            </w:r>
            <w:r>
              <w:rPr>
                <w:rFonts w:hint="eastAsia" w:ascii="华文仿宋" w:hAnsi="华文仿宋" w:eastAsia="华文仿宋"/>
                <w:bCs/>
                <w:szCs w:val="21"/>
                <w:lang w:val="en-US" w:eastAsia="zh-CN"/>
              </w:rPr>
              <w:t>木材类、冶金类</w:t>
            </w:r>
            <w:r>
              <w:rPr>
                <w:rFonts w:hint="eastAsia" w:ascii="华文仿宋" w:hAnsi="华文仿宋" w:eastAsia="华文仿宋"/>
                <w:bCs/>
                <w:szCs w:val="21"/>
              </w:rPr>
              <w:t>或理工科相关专业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单证、物流文员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厦门、福州、上海、天津、广州</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国际贸易、物流相关专业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管理储备方向</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财务专员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厦门、福州、上海、广州、天津</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财务管理、会计相关专业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物流管理专员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厦门、福州、上海、广州、天津、重庆、新疆</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物流管理相关专业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运营管理专员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厦门、上海、广州</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工商管理、国际贸易、审计相关专业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人力资源专员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人力资源相关专业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投资管理专员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工商管理相关专业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研究方向</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市场研究专员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w:t>
            </w:r>
            <w:r>
              <w:rPr>
                <w:rFonts w:hint="eastAsia" w:ascii="华文仿宋" w:hAnsi="华文仿宋" w:eastAsia="华文仿宋"/>
                <w:bCs/>
                <w:szCs w:val="21"/>
                <w:lang w:eastAsia="zh-CN"/>
              </w:rPr>
              <w:t>、</w:t>
            </w:r>
            <w:r>
              <w:rPr>
                <w:rFonts w:hint="eastAsia" w:ascii="华文仿宋" w:hAnsi="华文仿宋" w:eastAsia="华文仿宋"/>
                <w:bCs/>
                <w:szCs w:val="21"/>
                <w:lang w:val="en-US" w:eastAsia="zh-CN"/>
              </w:rPr>
              <w:t>上海</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金融、经济相关专业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产业研发专员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厦门、广州</w:t>
            </w:r>
            <w:r>
              <w:rPr>
                <w:rFonts w:hint="eastAsia" w:ascii="华文仿宋" w:hAnsi="华文仿宋" w:eastAsia="华文仿宋"/>
                <w:bCs/>
                <w:szCs w:val="21"/>
                <w:lang w:eastAsia="zh-CN"/>
              </w:rPr>
              <w:t>、</w:t>
            </w:r>
            <w:r>
              <w:rPr>
                <w:rFonts w:hint="eastAsia" w:ascii="华文仿宋" w:hAnsi="华文仿宋" w:eastAsia="华文仿宋"/>
                <w:bCs/>
                <w:szCs w:val="21"/>
                <w:lang w:val="en-US" w:eastAsia="zh-CN"/>
              </w:rPr>
              <w:t>上海</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金融、化工相关专业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IT方向</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IT技术开发专员</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软件工程、计算机相关专业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IT实施顾问</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厦门</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财务类、计算机类相关专业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生产辅助</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品质检疫</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东北</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粮食生产、酶发酵相关专业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设备维护</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东北</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机械工程相关专业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r>
              <w:rPr>
                <w:rFonts w:hint="eastAsia" w:ascii="华文仿宋" w:hAnsi="华文仿宋" w:eastAsia="华文仿宋"/>
                <w:bCs/>
                <w:szCs w:val="21"/>
              </w:rPr>
              <w:t>汽车方向</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平行进口车采购及销售</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海外、福州、武汉、成都、云南</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车辆工程及相关专业</w:t>
            </w:r>
          </w:p>
        </w:tc>
      </w:tr>
      <w:tr>
        <w:tblPrEx>
          <w:tblLayout w:type="fixed"/>
          <w:tblCellMar>
            <w:top w:w="0" w:type="dxa"/>
            <w:left w:w="108" w:type="dxa"/>
            <w:bottom w:w="0" w:type="dxa"/>
            <w:right w:w="108" w:type="dxa"/>
          </w:tblCellMar>
        </w:tblPrEx>
        <w:trPr>
          <w:trHeight w:val="270"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华文仿宋" w:hAnsi="华文仿宋" w:eastAsia="华文仿宋"/>
                <w:bCs/>
                <w:szCs w:val="21"/>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整车及配件检测装配管理</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海外、福州、武汉、成都、云南</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华文仿宋" w:hAnsi="华文仿宋" w:eastAsia="华文仿宋"/>
                <w:bCs/>
                <w:szCs w:val="21"/>
              </w:rPr>
            </w:pPr>
            <w:r>
              <w:rPr>
                <w:rFonts w:hint="eastAsia" w:ascii="华文仿宋" w:hAnsi="华文仿宋" w:eastAsia="华文仿宋"/>
                <w:bCs/>
                <w:szCs w:val="21"/>
              </w:rPr>
              <w:t>车辆工程及相关专业</w:t>
            </w:r>
          </w:p>
        </w:tc>
      </w:tr>
    </w:tbl>
    <w:p>
      <w:pPr>
        <w:snapToGrid w:val="0"/>
        <w:spacing w:line="360" w:lineRule="auto"/>
        <w:rPr>
          <w:rFonts w:ascii="仿宋" w:hAnsi="宋体" w:eastAsia="仿宋" w:cs="宋体"/>
          <w:b/>
          <w:kern w:val="0"/>
          <w:sz w:val="24"/>
          <w:szCs w:val="24"/>
        </w:rPr>
      </w:pPr>
      <w:r>
        <w:rPr>
          <w:rFonts w:hint="eastAsia" w:ascii="仿宋" w:hAnsi="宋体" w:eastAsia="仿宋" w:cs="宋体"/>
          <w:b/>
          <w:kern w:val="0"/>
          <w:sz w:val="24"/>
          <w:szCs w:val="24"/>
        </w:rPr>
        <w:t>三、投递方式</w:t>
      </w:r>
    </w:p>
    <w:p>
      <w:pPr>
        <w:snapToGrid w:val="0"/>
        <w:spacing w:line="360" w:lineRule="auto"/>
        <w:rPr>
          <w:rFonts w:ascii="仿宋" w:hAnsi="宋体" w:eastAsia="仿宋" w:cs="宋体"/>
          <w:kern w:val="0"/>
          <w:sz w:val="24"/>
          <w:szCs w:val="24"/>
        </w:rPr>
      </w:pPr>
      <w:r>
        <w:rPr>
          <w:rFonts w:hint="eastAsia" w:ascii="仿宋" w:hAnsi="宋体" w:eastAsia="仿宋" w:cs="宋体"/>
          <w:kern w:val="0"/>
          <w:sz w:val="24"/>
          <w:szCs w:val="24"/>
        </w:rPr>
        <w:t>集团官网：</w:t>
      </w:r>
      <w:r>
        <w:rPr>
          <w:rFonts w:ascii="仿宋" w:hAnsi="宋体" w:eastAsia="仿宋" w:cs="宋体"/>
          <w:kern w:val="0"/>
          <w:sz w:val="24"/>
          <w:szCs w:val="24"/>
        </w:rPr>
        <w:t>www.xiangyu-group.com</w:t>
      </w:r>
    </w:p>
    <w:p>
      <w:pPr>
        <w:keepNext w:val="0"/>
        <w:keepLines w:val="0"/>
        <w:widowControl/>
        <w:suppressLineNumbers w:val="0"/>
        <w:spacing w:line="23" w:lineRule="atLeast"/>
        <w:jc w:val="left"/>
        <w:rPr>
          <w:rFonts w:hint="eastAsia" w:ascii="Microsoft YaHei UI" w:hAnsi="Microsoft YaHei UI" w:eastAsia="Microsoft YaHei UI" w:cs="Microsoft YaHei UI"/>
          <w:color w:val="000000"/>
          <w:kern w:val="0"/>
          <w:sz w:val="21"/>
          <w:szCs w:val="21"/>
          <w:lang w:val="en-US" w:eastAsia="zh-CN" w:bidi="ar"/>
        </w:rPr>
      </w:pPr>
      <w:r>
        <w:rPr>
          <w:rFonts w:hint="eastAsia" w:ascii="仿宋" w:hAnsi="宋体" w:eastAsia="仿宋" w:cs="宋体"/>
          <w:kern w:val="0"/>
          <w:sz w:val="24"/>
          <w:szCs w:val="24"/>
          <w:lang w:val="en-US" w:eastAsia="zh-CN"/>
        </w:rPr>
        <w:t>简历投递</w:t>
      </w:r>
      <w:r>
        <w:rPr>
          <w:rFonts w:hint="eastAsia" w:ascii="仿宋" w:hAnsi="宋体" w:eastAsia="仿宋" w:cs="宋体"/>
          <w:kern w:val="0"/>
          <w:sz w:val="24"/>
          <w:szCs w:val="24"/>
        </w:rPr>
        <w:t>邮箱：</w:t>
      </w:r>
      <w:r>
        <w:rPr>
          <w:rFonts w:hint="eastAsia" w:ascii="Microsoft YaHei UI" w:hAnsi="Microsoft YaHei UI" w:eastAsia="Microsoft YaHei UI" w:cs="Microsoft YaHei UI"/>
          <w:color w:val="000000"/>
          <w:kern w:val="0"/>
          <w:sz w:val="21"/>
          <w:szCs w:val="21"/>
          <w:lang w:val="en-US" w:eastAsia="zh-CN" w:bidi="ar"/>
        </w:rPr>
        <w:fldChar w:fldCharType="begin"/>
      </w:r>
      <w:r>
        <w:rPr>
          <w:rFonts w:hint="eastAsia" w:ascii="Microsoft YaHei UI" w:hAnsi="Microsoft YaHei UI" w:eastAsia="Microsoft YaHei UI" w:cs="Microsoft YaHei UI"/>
          <w:color w:val="000000"/>
          <w:kern w:val="0"/>
          <w:sz w:val="21"/>
          <w:szCs w:val="21"/>
          <w:lang w:val="en-US" w:eastAsia="zh-CN" w:bidi="ar"/>
        </w:rPr>
        <w:instrText xml:space="preserve"> HYPERLINK "mailto:schr@xiangyu.cn" </w:instrText>
      </w:r>
      <w:r>
        <w:rPr>
          <w:rFonts w:hint="eastAsia" w:ascii="Microsoft YaHei UI" w:hAnsi="Microsoft YaHei UI" w:eastAsia="Microsoft YaHei UI" w:cs="Microsoft YaHei UI"/>
          <w:color w:val="000000"/>
          <w:kern w:val="0"/>
          <w:sz w:val="21"/>
          <w:szCs w:val="21"/>
          <w:lang w:val="en-US" w:eastAsia="zh-CN" w:bidi="ar"/>
        </w:rPr>
        <w:fldChar w:fldCharType="separate"/>
      </w:r>
      <w:r>
        <w:rPr>
          <w:rStyle w:val="6"/>
          <w:rFonts w:hint="eastAsia" w:ascii="Microsoft YaHei UI" w:hAnsi="Microsoft YaHei UI" w:eastAsia="Microsoft YaHei UI" w:cs="Microsoft YaHei UI"/>
          <w:kern w:val="0"/>
          <w:sz w:val="21"/>
          <w:szCs w:val="21"/>
          <w:lang w:val="en-US" w:eastAsia="zh-CN" w:bidi="ar"/>
        </w:rPr>
        <w:t>schr@xiangyu.cn</w:t>
      </w:r>
      <w:r>
        <w:rPr>
          <w:rFonts w:hint="eastAsia" w:ascii="Microsoft YaHei UI" w:hAnsi="Microsoft YaHei UI" w:eastAsia="Microsoft YaHei UI" w:cs="Microsoft YaHei UI"/>
          <w:color w:val="000000"/>
          <w:kern w:val="0"/>
          <w:sz w:val="21"/>
          <w:szCs w:val="21"/>
          <w:lang w:val="en-US" w:eastAsia="zh-CN" w:bidi="ar"/>
        </w:rPr>
        <w:fldChar w:fldCharType="end"/>
      </w:r>
    </w:p>
    <w:p>
      <w:pPr>
        <w:snapToGrid w:val="0"/>
        <w:spacing w:line="360" w:lineRule="auto"/>
        <w:rPr>
          <w:rFonts w:ascii="仿宋" w:hAnsi="宋体" w:eastAsia="仿宋" w:cs="宋体"/>
          <w:kern w:val="0"/>
          <w:sz w:val="24"/>
          <w:szCs w:val="24"/>
        </w:rPr>
      </w:pPr>
      <w:r>
        <w:rPr>
          <w:rFonts w:hint="eastAsia" w:ascii="仿宋" w:hAnsi="宋体" w:eastAsia="仿宋" w:cs="宋体"/>
          <w:kern w:val="0"/>
          <w:sz w:val="24"/>
          <w:szCs w:val="24"/>
        </w:rPr>
        <w:t>邮件</w:t>
      </w:r>
      <w:r>
        <w:rPr>
          <w:rFonts w:hint="eastAsia" w:ascii="仿宋" w:hAnsi="宋体" w:eastAsia="仿宋" w:cs="宋体"/>
          <w:kern w:val="0"/>
          <w:sz w:val="24"/>
          <w:szCs w:val="24"/>
          <w:lang w:val="en-US" w:eastAsia="zh-CN"/>
        </w:rPr>
        <w:t>命名方式</w:t>
      </w:r>
      <w:bookmarkStart w:id="0" w:name="_GoBack"/>
      <w:bookmarkEnd w:id="0"/>
      <w:r>
        <w:rPr>
          <w:rFonts w:hint="eastAsia" w:ascii="仿宋" w:hAnsi="宋体" w:eastAsia="仿宋" w:cs="宋体"/>
          <w:kern w:val="0"/>
          <w:sz w:val="24"/>
          <w:szCs w:val="24"/>
        </w:rPr>
        <w:t>：</w:t>
      </w:r>
      <w:r>
        <w:rPr>
          <w:rFonts w:hint="eastAsia" w:ascii="仿宋" w:hAnsi="宋体" w:eastAsia="仿宋" w:cs="宋体"/>
          <w:kern w:val="0"/>
          <w:sz w:val="24"/>
          <w:szCs w:val="24"/>
          <w:lang w:val="en-US" w:eastAsia="zh-CN"/>
        </w:rPr>
        <w:t>工作地点+</w:t>
      </w:r>
      <w:r>
        <w:rPr>
          <w:rFonts w:hint="eastAsia" w:ascii="仿宋" w:hAnsi="宋体" w:eastAsia="仿宋" w:cs="宋体"/>
          <w:kern w:val="0"/>
          <w:sz w:val="24"/>
          <w:szCs w:val="24"/>
        </w:rPr>
        <w:t>岗位+学校+专业+姓名</w:t>
      </w:r>
    </w:p>
    <w:sectPr>
      <w:pgSz w:w="11906" w:h="16838"/>
      <w:pgMar w:top="1135"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015D"/>
    <w:rsid w:val="00021385"/>
    <w:rsid w:val="00052E6C"/>
    <w:rsid w:val="00084A43"/>
    <w:rsid w:val="001C256B"/>
    <w:rsid w:val="002328FF"/>
    <w:rsid w:val="00237646"/>
    <w:rsid w:val="003272FC"/>
    <w:rsid w:val="00382715"/>
    <w:rsid w:val="003B5F5B"/>
    <w:rsid w:val="00477314"/>
    <w:rsid w:val="004B67F4"/>
    <w:rsid w:val="005044DD"/>
    <w:rsid w:val="00526384"/>
    <w:rsid w:val="00572A66"/>
    <w:rsid w:val="005B0AE4"/>
    <w:rsid w:val="00623A69"/>
    <w:rsid w:val="00692C01"/>
    <w:rsid w:val="006F7A15"/>
    <w:rsid w:val="00786BAB"/>
    <w:rsid w:val="007C46AF"/>
    <w:rsid w:val="007D51C6"/>
    <w:rsid w:val="00870570"/>
    <w:rsid w:val="00990C98"/>
    <w:rsid w:val="009C7089"/>
    <w:rsid w:val="009E1026"/>
    <w:rsid w:val="009E12B7"/>
    <w:rsid w:val="00A57D25"/>
    <w:rsid w:val="00B34D27"/>
    <w:rsid w:val="00BA5E08"/>
    <w:rsid w:val="00BB45DC"/>
    <w:rsid w:val="00C1015D"/>
    <w:rsid w:val="00C31765"/>
    <w:rsid w:val="00C678D5"/>
    <w:rsid w:val="00CF57E0"/>
    <w:rsid w:val="00D9658B"/>
    <w:rsid w:val="00DA301E"/>
    <w:rsid w:val="00DA34F2"/>
    <w:rsid w:val="00DD1F6E"/>
    <w:rsid w:val="00DE0D0E"/>
    <w:rsid w:val="00DF142D"/>
    <w:rsid w:val="00EF189B"/>
    <w:rsid w:val="00F23136"/>
    <w:rsid w:val="00F818CE"/>
    <w:rsid w:val="00FB0350"/>
    <w:rsid w:val="00FD4C41"/>
    <w:rsid w:val="00FF5C5E"/>
    <w:rsid w:val="156529C8"/>
    <w:rsid w:val="55742ABC"/>
    <w:rsid w:val="64084047"/>
    <w:rsid w:val="7EF263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E1F04-527B-4F65-8237-4EE81C45D7AB}">
  <ds:schemaRefs/>
</ds:datastoreItem>
</file>

<file path=docProps/app.xml><?xml version="1.0" encoding="utf-8"?>
<Properties xmlns="http://schemas.openxmlformats.org/officeDocument/2006/extended-properties" xmlns:vt="http://schemas.openxmlformats.org/officeDocument/2006/docPropsVTypes">
  <Template>Normal</Template>
  <Company>xiangyu</Company>
  <Pages>3</Pages>
  <Words>270</Words>
  <Characters>1545</Characters>
  <Lines>12</Lines>
  <Paragraphs>3</Paragraphs>
  <ScaleCrop>false</ScaleCrop>
  <LinksUpToDate>false</LinksUpToDate>
  <CharactersWithSpaces>1812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2016-09-08T07:02:00Z</dcterms:created>
  <dc:creator>user</dc:creator>
  <cp:lastModifiedBy>林向前</cp:lastModifiedBy>
  <cp:lastPrinted>2016-09-01T09:40:00Z</cp:lastPrinted>
  <dcterms:modified xsi:type="dcterms:W3CDTF">2016-09-14T06:39:23Z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